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1F" w:rsidRPr="00C546B0" w:rsidRDefault="004264E4" w:rsidP="004264E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546B0">
        <w:rPr>
          <w:rFonts w:ascii="Arial" w:hAnsi="Arial" w:cs="Arial"/>
          <w:b/>
          <w:sz w:val="22"/>
          <w:szCs w:val="22"/>
        </w:rPr>
        <w:t xml:space="preserve">SOCIAL SECURITY ADMINISTRATION </w:t>
      </w:r>
    </w:p>
    <w:p w:rsidR="004264E4" w:rsidRPr="00C546B0" w:rsidRDefault="00636AC1" w:rsidP="004264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</w:t>
      </w:r>
      <w:r w:rsidR="00382327" w:rsidRPr="00C546B0">
        <w:rPr>
          <w:rFonts w:ascii="Arial" w:hAnsi="Arial" w:cs="Arial"/>
          <w:b/>
          <w:sz w:val="22"/>
          <w:szCs w:val="22"/>
        </w:rPr>
        <w:t xml:space="preserve"> 201</w:t>
      </w:r>
      <w:r w:rsidR="00C73133" w:rsidRPr="00C546B0">
        <w:rPr>
          <w:rFonts w:ascii="Arial" w:hAnsi="Arial" w:cs="Arial"/>
          <w:b/>
          <w:sz w:val="22"/>
          <w:szCs w:val="22"/>
        </w:rPr>
        <w:t>2</w:t>
      </w:r>
    </w:p>
    <w:p w:rsidR="004264E4" w:rsidRPr="00C546B0" w:rsidRDefault="004264E4" w:rsidP="004264E4">
      <w:pPr>
        <w:jc w:val="center"/>
        <w:rPr>
          <w:rFonts w:ascii="Arial" w:hAnsi="Arial" w:cs="Arial"/>
          <w:b/>
          <w:sz w:val="22"/>
          <w:szCs w:val="22"/>
        </w:rPr>
      </w:pPr>
    </w:p>
    <w:p w:rsidR="00E8586D" w:rsidRPr="00C546B0" w:rsidRDefault="00FF01B2" w:rsidP="004264E4">
      <w:pPr>
        <w:jc w:val="center"/>
        <w:rPr>
          <w:rFonts w:ascii="Arial" w:hAnsi="Arial" w:cs="Arial"/>
          <w:b/>
          <w:sz w:val="22"/>
          <w:szCs w:val="22"/>
        </w:rPr>
      </w:pPr>
      <w:r w:rsidRPr="00C546B0">
        <w:rPr>
          <w:rFonts w:ascii="Arial" w:hAnsi="Arial" w:cs="Arial"/>
          <w:b/>
          <w:sz w:val="22"/>
          <w:szCs w:val="22"/>
        </w:rPr>
        <w:t>NATIONAL SUPPORT CENTER</w:t>
      </w:r>
    </w:p>
    <w:p w:rsidR="00A32133" w:rsidRPr="00C546B0" w:rsidRDefault="00A32133" w:rsidP="004264E4">
      <w:pPr>
        <w:jc w:val="center"/>
        <w:rPr>
          <w:rFonts w:ascii="Arial" w:hAnsi="Arial" w:cs="Arial"/>
          <w:b/>
          <w:sz w:val="22"/>
          <w:szCs w:val="22"/>
        </w:rPr>
      </w:pPr>
    </w:p>
    <w:p w:rsidR="00AC7D89" w:rsidRPr="00C546B0" w:rsidRDefault="00AC7D89" w:rsidP="004264E4">
      <w:pPr>
        <w:jc w:val="center"/>
        <w:rPr>
          <w:rFonts w:ascii="Arial" w:hAnsi="Arial" w:cs="Arial"/>
          <w:b/>
          <w:sz w:val="22"/>
          <w:szCs w:val="22"/>
        </w:rPr>
      </w:pPr>
    </w:p>
    <w:p w:rsidR="008F76B2" w:rsidRPr="00C546B0" w:rsidRDefault="00FF01B2" w:rsidP="00FF01B2">
      <w:pPr>
        <w:pStyle w:val="Default"/>
        <w:rPr>
          <w:rFonts w:ascii="Arial" w:hAnsi="Arial" w:cs="Arial"/>
          <w:sz w:val="22"/>
          <w:szCs w:val="22"/>
        </w:rPr>
      </w:pPr>
      <w:r w:rsidRPr="00C546B0">
        <w:rPr>
          <w:rFonts w:ascii="Arial" w:hAnsi="Arial" w:cs="Arial"/>
          <w:sz w:val="22"/>
          <w:szCs w:val="22"/>
        </w:rPr>
        <w:t xml:space="preserve">In </w:t>
      </w:r>
      <w:r w:rsidR="00981CBA" w:rsidRPr="00C546B0">
        <w:rPr>
          <w:rFonts w:ascii="Arial" w:hAnsi="Arial" w:cs="Arial"/>
          <w:sz w:val="22"/>
          <w:szCs w:val="22"/>
        </w:rPr>
        <w:t>Fiscal Year (</w:t>
      </w:r>
      <w:r w:rsidRPr="00C546B0">
        <w:rPr>
          <w:rFonts w:ascii="Arial" w:hAnsi="Arial" w:cs="Arial"/>
          <w:sz w:val="22"/>
          <w:szCs w:val="22"/>
        </w:rPr>
        <w:t>FY</w:t>
      </w:r>
      <w:r w:rsidR="00981CBA" w:rsidRPr="00C546B0">
        <w:rPr>
          <w:rFonts w:ascii="Arial" w:hAnsi="Arial" w:cs="Arial"/>
          <w:sz w:val="22"/>
          <w:szCs w:val="22"/>
        </w:rPr>
        <w:t>)</w:t>
      </w:r>
      <w:r w:rsidRPr="00C546B0">
        <w:rPr>
          <w:rFonts w:ascii="Arial" w:hAnsi="Arial" w:cs="Arial"/>
          <w:sz w:val="22"/>
          <w:szCs w:val="22"/>
        </w:rPr>
        <w:t xml:space="preserve"> 2009, Congress provided $500 million for the construction and partial equipping of a new National Support Center (NSC) as part of the American Recovery and Reinvestment Act (Recovery Act).</w:t>
      </w:r>
      <w:r w:rsidR="00981CBA" w:rsidRPr="00C546B0">
        <w:rPr>
          <w:rFonts w:ascii="Arial" w:hAnsi="Arial" w:cs="Arial"/>
          <w:sz w:val="22"/>
          <w:szCs w:val="22"/>
        </w:rPr>
        <w:t xml:space="preserve"> </w:t>
      </w:r>
      <w:r w:rsidRPr="00C546B0">
        <w:rPr>
          <w:rFonts w:ascii="Arial" w:hAnsi="Arial" w:cs="Arial"/>
          <w:sz w:val="22"/>
          <w:szCs w:val="22"/>
        </w:rPr>
        <w:t xml:space="preserve"> We currently run our nationwide computer operations from the National Computer Center (NCC). </w:t>
      </w:r>
      <w:r w:rsidR="00981CBA" w:rsidRPr="00C546B0">
        <w:rPr>
          <w:rFonts w:ascii="Arial" w:hAnsi="Arial" w:cs="Arial"/>
          <w:sz w:val="22"/>
          <w:szCs w:val="22"/>
        </w:rPr>
        <w:t xml:space="preserve"> </w:t>
      </w:r>
      <w:r w:rsidRPr="00C546B0">
        <w:rPr>
          <w:rFonts w:ascii="Arial" w:hAnsi="Arial" w:cs="Arial"/>
          <w:sz w:val="22"/>
          <w:szCs w:val="22"/>
        </w:rPr>
        <w:t>Our systems maintain demographic, wage, and benefit information on almost every American.</w:t>
      </w:r>
      <w:r w:rsidR="00981CBA" w:rsidRPr="00C546B0">
        <w:rPr>
          <w:rFonts w:ascii="Arial" w:hAnsi="Arial" w:cs="Arial"/>
          <w:sz w:val="22"/>
          <w:szCs w:val="22"/>
        </w:rPr>
        <w:t xml:space="preserve"> </w:t>
      </w:r>
      <w:r w:rsidRPr="00C546B0">
        <w:rPr>
          <w:rFonts w:ascii="Arial" w:hAnsi="Arial" w:cs="Arial"/>
          <w:sz w:val="22"/>
          <w:szCs w:val="22"/>
        </w:rPr>
        <w:t xml:space="preserve"> The data housed at the NCC are essential to provide service to the millions of individuals who count on us each day.</w:t>
      </w:r>
      <w:r w:rsidR="00981CBA" w:rsidRPr="00C546B0">
        <w:rPr>
          <w:rFonts w:ascii="Arial" w:hAnsi="Arial" w:cs="Arial"/>
          <w:sz w:val="22"/>
          <w:szCs w:val="22"/>
        </w:rPr>
        <w:t xml:space="preserve"> </w:t>
      </w:r>
      <w:r w:rsidRPr="00C546B0">
        <w:rPr>
          <w:rFonts w:ascii="Arial" w:hAnsi="Arial" w:cs="Arial"/>
          <w:sz w:val="22"/>
          <w:szCs w:val="22"/>
        </w:rPr>
        <w:t xml:space="preserve"> While once a state-of-the-art data center designed for mainframe use, the NCC is over 30 years old and the facility infrastructure systems have exceeded their useful life.</w:t>
      </w:r>
      <w:r w:rsidR="00981CBA" w:rsidRPr="00C546B0">
        <w:rPr>
          <w:rFonts w:ascii="Arial" w:hAnsi="Arial" w:cs="Arial"/>
          <w:sz w:val="22"/>
          <w:szCs w:val="22"/>
        </w:rPr>
        <w:t xml:space="preserve"> </w:t>
      </w:r>
      <w:r w:rsidRPr="00C546B0">
        <w:rPr>
          <w:rFonts w:ascii="Arial" w:hAnsi="Arial" w:cs="Arial"/>
          <w:sz w:val="22"/>
          <w:szCs w:val="22"/>
        </w:rPr>
        <w:t xml:space="preserve"> With these Recovery Act funds, we are taking timely action to ensure a new facility </w:t>
      </w:r>
      <w:r w:rsidR="00981CBA" w:rsidRPr="00C546B0">
        <w:rPr>
          <w:rFonts w:ascii="Arial" w:hAnsi="Arial" w:cs="Arial"/>
          <w:sz w:val="22"/>
          <w:szCs w:val="22"/>
        </w:rPr>
        <w:t>is</w:t>
      </w:r>
      <w:r w:rsidRPr="00C546B0">
        <w:rPr>
          <w:rFonts w:ascii="Arial" w:hAnsi="Arial" w:cs="Arial"/>
          <w:sz w:val="22"/>
          <w:szCs w:val="22"/>
        </w:rPr>
        <w:t xml:space="preserve"> built and operational as the NCC nears the end of its functional life. </w:t>
      </w:r>
    </w:p>
    <w:p w:rsidR="00AC7D89" w:rsidRDefault="00AC7D89" w:rsidP="00FF01B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30814" w:rsidRPr="00830814" w:rsidRDefault="00830814" w:rsidP="00FF01B2">
      <w:pPr>
        <w:pStyle w:val="Default"/>
        <w:rPr>
          <w:rFonts w:ascii="Arial" w:hAnsi="Arial" w:cs="Arial"/>
          <w:bCs/>
          <w:sz w:val="22"/>
          <w:szCs w:val="22"/>
        </w:rPr>
      </w:pPr>
      <w:r w:rsidRPr="00830814">
        <w:rPr>
          <w:rFonts w:ascii="Arial" w:hAnsi="Arial" w:cs="Arial"/>
          <w:bCs/>
          <w:sz w:val="22"/>
          <w:szCs w:val="22"/>
        </w:rPr>
        <w:t>W</w:t>
      </w:r>
      <w:r w:rsidR="002412BA">
        <w:rPr>
          <w:rFonts w:ascii="Arial" w:hAnsi="Arial" w:cs="Arial"/>
          <w:bCs/>
          <w:sz w:val="22"/>
          <w:szCs w:val="22"/>
        </w:rPr>
        <w:t>hile w</w:t>
      </w:r>
      <w:r w:rsidRPr="00830814">
        <w:rPr>
          <w:rFonts w:ascii="Arial" w:hAnsi="Arial" w:cs="Arial"/>
          <w:bCs/>
          <w:sz w:val="22"/>
          <w:szCs w:val="22"/>
        </w:rPr>
        <w:t xml:space="preserve">e have </w:t>
      </w:r>
      <w:r>
        <w:rPr>
          <w:rFonts w:ascii="Arial" w:hAnsi="Arial" w:cs="Arial"/>
          <w:bCs/>
          <w:sz w:val="22"/>
          <w:szCs w:val="22"/>
        </w:rPr>
        <w:t>submitted an apportionment request for $</w:t>
      </w:r>
      <w:r w:rsidR="00DB4061">
        <w:rPr>
          <w:rFonts w:ascii="Arial" w:hAnsi="Arial" w:cs="Arial"/>
          <w:bCs/>
          <w:sz w:val="22"/>
          <w:szCs w:val="22"/>
        </w:rPr>
        <w:t>137</w:t>
      </w:r>
      <w:r>
        <w:rPr>
          <w:rFonts w:ascii="Arial" w:hAnsi="Arial" w:cs="Arial"/>
          <w:bCs/>
          <w:sz w:val="22"/>
          <w:szCs w:val="22"/>
        </w:rPr>
        <w:t>.</w:t>
      </w:r>
      <w:r w:rsidR="00DB4061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M for FY 2013</w:t>
      </w:r>
      <w:r w:rsidR="002412BA">
        <w:rPr>
          <w:rFonts w:ascii="Arial" w:hAnsi="Arial" w:cs="Arial"/>
          <w:bCs/>
          <w:sz w:val="22"/>
          <w:szCs w:val="22"/>
        </w:rPr>
        <w:t>, t</w:t>
      </w:r>
      <w:r w:rsidR="006F68E0">
        <w:rPr>
          <w:rFonts w:ascii="Arial" w:hAnsi="Arial" w:cs="Arial"/>
          <w:bCs/>
          <w:sz w:val="22"/>
          <w:szCs w:val="22"/>
        </w:rPr>
        <w:t>he f</w:t>
      </w:r>
      <w:r w:rsidR="002412BA">
        <w:rPr>
          <w:rFonts w:ascii="Arial" w:hAnsi="Arial" w:cs="Arial"/>
          <w:bCs/>
          <w:sz w:val="22"/>
          <w:szCs w:val="22"/>
        </w:rPr>
        <w:t xml:space="preserve">ollowing table describes how </w:t>
      </w:r>
      <w:r w:rsidR="002700A7">
        <w:rPr>
          <w:rFonts w:ascii="Arial" w:hAnsi="Arial" w:cs="Arial"/>
          <w:bCs/>
          <w:sz w:val="22"/>
          <w:szCs w:val="22"/>
        </w:rPr>
        <w:t xml:space="preserve">we would utilize </w:t>
      </w:r>
      <w:r w:rsidR="006F68E0">
        <w:rPr>
          <w:rFonts w:ascii="Arial" w:hAnsi="Arial" w:cs="Arial"/>
          <w:bCs/>
          <w:sz w:val="22"/>
          <w:szCs w:val="22"/>
        </w:rPr>
        <w:t>funds in FY 2013</w:t>
      </w:r>
      <w:r w:rsidR="00913B0E">
        <w:rPr>
          <w:rFonts w:ascii="Arial" w:hAnsi="Arial" w:cs="Arial"/>
          <w:bCs/>
          <w:sz w:val="22"/>
          <w:szCs w:val="22"/>
        </w:rPr>
        <w:t xml:space="preserve"> through F</w:t>
      </w:r>
      <w:r w:rsidR="002412BA">
        <w:rPr>
          <w:rFonts w:ascii="Arial" w:hAnsi="Arial" w:cs="Arial"/>
          <w:bCs/>
          <w:sz w:val="22"/>
          <w:szCs w:val="22"/>
        </w:rPr>
        <w:t>Y</w:t>
      </w:r>
      <w:r w:rsidR="00913B0E">
        <w:rPr>
          <w:rFonts w:ascii="Arial" w:hAnsi="Arial" w:cs="Arial"/>
          <w:bCs/>
          <w:sz w:val="22"/>
          <w:szCs w:val="22"/>
        </w:rPr>
        <w:t xml:space="preserve"> 2016</w:t>
      </w:r>
      <w:r w:rsidR="002412BA">
        <w:rPr>
          <w:rFonts w:ascii="Arial" w:hAnsi="Arial" w:cs="Arial"/>
          <w:bCs/>
          <w:sz w:val="22"/>
          <w:szCs w:val="22"/>
        </w:rPr>
        <w:t xml:space="preserve"> if </w:t>
      </w:r>
      <w:r w:rsidR="002700A7">
        <w:rPr>
          <w:rFonts w:ascii="Arial" w:hAnsi="Arial" w:cs="Arial"/>
          <w:bCs/>
          <w:sz w:val="22"/>
          <w:szCs w:val="22"/>
        </w:rPr>
        <w:t>our request for a</w:t>
      </w:r>
      <w:r w:rsidR="002412BA">
        <w:rPr>
          <w:rFonts w:ascii="Arial" w:hAnsi="Arial" w:cs="Arial"/>
          <w:bCs/>
          <w:sz w:val="22"/>
          <w:szCs w:val="22"/>
        </w:rPr>
        <w:t xml:space="preserve"> Presidential Waiver </w:t>
      </w:r>
      <w:r w:rsidR="002700A7">
        <w:rPr>
          <w:rFonts w:ascii="Arial" w:hAnsi="Arial" w:cs="Arial"/>
          <w:bCs/>
          <w:sz w:val="22"/>
          <w:szCs w:val="22"/>
        </w:rPr>
        <w:t xml:space="preserve">under the Dodd-Frank Act </w:t>
      </w:r>
      <w:r w:rsidR="00391AC7">
        <w:rPr>
          <w:rFonts w:ascii="Arial" w:hAnsi="Arial" w:cs="Arial"/>
          <w:bCs/>
          <w:sz w:val="22"/>
          <w:szCs w:val="22"/>
        </w:rPr>
        <w:t xml:space="preserve">were </w:t>
      </w:r>
      <w:r w:rsidR="002412BA">
        <w:rPr>
          <w:rFonts w:ascii="Arial" w:hAnsi="Arial" w:cs="Arial"/>
          <w:bCs/>
          <w:sz w:val="22"/>
          <w:szCs w:val="22"/>
        </w:rPr>
        <w:t>granted</w:t>
      </w:r>
      <w:r w:rsidR="006F68E0">
        <w:rPr>
          <w:rFonts w:ascii="Arial" w:hAnsi="Arial" w:cs="Arial"/>
          <w:bCs/>
          <w:sz w:val="22"/>
          <w:szCs w:val="22"/>
        </w:rPr>
        <w:t>.</w:t>
      </w:r>
      <w:r w:rsidR="00E96A50">
        <w:rPr>
          <w:rFonts w:ascii="Arial" w:hAnsi="Arial" w:cs="Arial"/>
          <w:bCs/>
          <w:sz w:val="22"/>
          <w:szCs w:val="22"/>
        </w:rPr>
        <w:t xml:space="preserve"> </w:t>
      </w:r>
      <w:r w:rsidR="00E96A50" w:rsidRPr="00E96A50">
        <w:rPr>
          <w:rFonts w:ascii="Arial" w:hAnsi="Arial" w:cs="Arial"/>
          <w:sz w:val="22"/>
          <w:szCs w:val="22"/>
        </w:rPr>
        <w:t xml:space="preserve"> </w:t>
      </w:r>
      <w:r w:rsidR="00E96A50" w:rsidRPr="00C546B0">
        <w:rPr>
          <w:rFonts w:ascii="Arial" w:hAnsi="Arial" w:cs="Arial"/>
          <w:sz w:val="22"/>
          <w:szCs w:val="22"/>
        </w:rPr>
        <w:t xml:space="preserve">The FY 2014 Budget Authority for Limitation on Administrative Expenses assumes </w:t>
      </w:r>
      <w:r w:rsidR="006200FF">
        <w:rPr>
          <w:rFonts w:ascii="Arial" w:hAnsi="Arial" w:cs="Arial"/>
          <w:sz w:val="22"/>
          <w:szCs w:val="22"/>
        </w:rPr>
        <w:t>we</w:t>
      </w:r>
      <w:r w:rsidR="00E96A50" w:rsidRPr="00C546B0">
        <w:rPr>
          <w:rFonts w:ascii="Arial" w:hAnsi="Arial" w:cs="Arial"/>
          <w:sz w:val="22"/>
          <w:szCs w:val="22"/>
        </w:rPr>
        <w:t xml:space="preserve"> will receive the Presidential waiver allowing us to use Recovery Act </w:t>
      </w:r>
      <w:r w:rsidR="002700A7">
        <w:rPr>
          <w:rFonts w:ascii="Arial" w:hAnsi="Arial" w:cs="Arial"/>
          <w:sz w:val="22"/>
          <w:szCs w:val="22"/>
        </w:rPr>
        <w:t xml:space="preserve">funds for the </w:t>
      </w:r>
      <w:r w:rsidR="00E96A50" w:rsidRPr="00C546B0">
        <w:rPr>
          <w:rFonts w:ascii="Arial" w:hAnsi="Arial" w:cs="Arial"/>
          <w:sz w:val="22"/>
          <w:szCs w:val="22"/>
        </w:rPr>
        <w:t xml:space="preserve">NSC in FY 2014.  </w:t>
      </w:r>
      <w:r w:rsidR="002700A7">
        <w:rPr>
          <w:rFonts w:ascii="Arial" w:hAnsi="Arial" w:cs="Arial"/>
          <w:sz w:val="22"/>
          <w:szCs w:val="22"/>
        </w:rPr>
        <w:t>Otherwise</w:t>
      </w:r>
      <w:r w:rsidR="00E96A50" w:rsidRPr="00C546B0">
        <w:rPr>
          <w:rFonts w:ascii="Arial" w:hAnsi="Arial" w:cs="Arial"/>
          <w:sz w:val="22"/>
          <w:szCs w:val="22"/>
        </w:rPr>
        <w:t xml:space="preserve">, </w:t>
      </w:r>
      <w:r w:rsidR="00AD60A6">
        <w:rPr>
          <w:rFonts w:ascii="Arial" w:hAnsi="Arial" w:cs="Arial"/>
          <w:sz w:val="22"/>
          <w:szCs w:val="22"/>
        </w:rPr>
        <w:t>we</w:t>
      </w:r>
      <w:r w:rsidR="00E96A50" w:rsidRPr="00C546B0">
        <w:rPr>
          <w:rFonts w:ascii="Arial" w:hAnsi="Arial" w:cs="Arial"/>
          <w:sz w:val="22"/>
          <w:szCs w:val="22"/>
        </w:rPr>
        <w:t xml:space="preserve"> will request the amount rescinded from the Recovery Act NSC funding as part of the FY 2014 budget.  </w:t>
      </w:r>
      <w:r w:rsidR="006F68E0">
        <w:rPr>
          <w:rFonts w:ascii="Arial" w:hAnsi="Arial" w:cs="Arial"/>
          <w:bCs/>
          <w:sz w:val="22"/>
          <w:szCs w:val="22"/>
        </w:rPr>
        <w:t xml:space="preserve"> </w:t>
      </w:r>
    </w:p>
    <w:p w:rsidR="00D518B2" w:rsidRDefault="00D518B2" w:rsidP="00FF01B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b/>
          <w:sz w:val="22"/>
          <w:szCs w:val="22"/>
        </w:rPr>
      </w:pPr>
      <w:r w:rsidRPr="000B19C1">
        <w:rPr>
          <w:rFonts w:ascii="Arial" w:hAnsi="Arial" w:cs="Arial"/>
          <w:b/>
          <w:sz w:val="22"/>
          <w:szCs w:val="22"/>
        </w:rPr>
        <w:t>Initiative</w:t>
      </w:r>
      <w:r w:rsidR="00792E55">
        <w:rPr>
          <w:rFonts w:ascii="Arial" w:hAnsi="Arial" w:cs="Arial"/>
          <w:b/>
          <w:sz w:val="22"/>
          <w:szCs w:val="22"/>
        </w:rPr>
        <w:t>s</w:t>
      </w:r>
      <w:r w:rsidRPr="000B19C1">
        <w:rPr>
          <w:rFonts w:ascii="Arial" w:hAnsi="Arial" w:cs="Arial"/>
          <w:b/>
          <w:sz w:val="22"/>
          <w:szCs w:val="22"/>
        </w:rPr>
        <w:t>:</w:t>
      </w:r>
    </w:p>
    <w:p w:rsidR="00D518B2" w:rsidRDefault="00D518B2" w:rsidP="00D518B2">
      <w:pPr>
        <w:rPr>
          <w:rFonts w:ascii="Arial" w:hAnsi="Arial" w:cs="Arial"/>
          <w:b/>
          <w:sz w:val="22"/>
          <w:szCs w:val="22"/>
        </w:rPr>
      </w:pPr>
    </w:p>
    <w:p w:rsidR="00391AC7" w:rsidRPr="004C330A" w:rsidRDefault="004C330A" w:rsidP="00391AC7">
      <w:pPr>
        <w:rPr>
          <w:rFonts w:ascii="Arial" w:hAnsi="Arial" w:cs="Arial"/>
          <w:sz w:val="22"/>
          <w:szCs w:val="22"/>
        </w:rPr>
      </w:pPr>
      <w:r w:rsidRPr="004C330A">
        <w:rPr>
          <w:rFonts w:ascii="Arial" w:hAnsi="Arial" w:cs="Arial"/>
          <w:sz w:val="22"/>
          <w:szCs w:val="22"/>
        </w:rPr>
        <w:t>Building Construction</w:t>
      </w:r>
      <w:r w:rsidR="00391AC7" w:rsidRPr="004C330A">
        <w:rPr>
          <w:rFonts w:ascii="Arial" w:hAnsi="Arial" w:cs="Arial"/>
          <w:sz w:val="22"/>
          <w:szCs w:val="22"/>
        </w:rPr>
        <w:t xml:space="preserve"> - Supports land acquisition and building construction costs.</w:t>
      </w:r>
    </w:p>
    <w:p w:rsidR="00391AC7" w:rsidRPr="009208E2" w:rsidRDefault="00391AC7" w:rsidP="00D518B2">
      <w:pPr>
        <w:rPr>
          <w:rFonts w:ascii="Arial" w:hAnsi="Arial" w:cs="Arial"/>
          <w:sz w:val="22"/>
          <w:szCs w:val="22"/>
          <w:highlight w:val="yellow"/>
        </w:rPr>
      </w:pPr>
    </w:p>
    <w:p w:rsidR="009208E2" w:rsidRDefault="00370D53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 Model Study</w:t>
      </w:r>
      <w:r w:rsidR="009208E2" w:rsidRPr="008E3AC7">
        <w:rPr>
          <w:rFonts w:ascii="Arial" w:hAnsi="Arial" w:cs="Arial"/>
          <w:sz w:val="22"/>
          <w:szCs w:val="22"/>
        </w:rPr>
        <w:t xml:space="preserve"> </w:t>
      </w:r>
      <w:r w:rsidR="00A90596" w:rsidRPr="008E3AC7">
        <w:rPr>
          <w:rFonts w:ascii="Arial" w:hAnsi="Arial" w:cs="Arial"/>
          <w:sz w:val="22"/>
          <w:szCs w:val="22"/>
        </w:rPr>
        <w:t>–</w:t>
      </w:r>
      <w:r w:rsidR="009208E2" w:rsidRPr="008E3AC7">
        <w:rPr>
          <w:rFonts w:ascii="Arial" w:hAnsi="Arial" w:cs="Arial"/>
          <w:sz w:val="22"/>
          <w:szCs w:val="22"/>
        </w:rPr>
        <w:t xml:space="preserve"> </w:t>
      </w:r>
      <w:r w:rsidR="00A90596" w:rsidRPr="008E3AC7">
        <w:rPr>
          <w:rFonts w:ascii="Arial" w:hAnsi="Arial" w:cs="Arial"/>
          <w:sz w:val="22"/>
          <w:szCs w:val="22"/>
        </w:rPr>
        <w:t>Supports the</w:t>
      </w:r>
      <w:r w:rsidR="00A90596">
        <w:rPr>
          <w:rFonts w:ascii="Arial" w:hAnsi="Arial" w:cs="Arial"/>
          <w:sz w:val="22"/>
          <w:szCs w:val="22"/>
        </w:rPr>
        <w:t xml:space="preserve"> development of the NSC program of requirements including associated design reviews and uptime certifications, development of IT strategies, equipment projections, space power cooling calculations, and prototypical equipment layouts.</w:t>
      </w:r>
    </w:p>
    <w:p w:rsidR="009208E2" w:rsidRDefault="009208E2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Simulated NSC - </w:t>
      </w:r>
      <w:r w:rsidRPr="00DE23B3">
        <w:rPr>
          <w:rFonts w:ascii="Arial" w:hAnsi="Arial" w:cs="Arial"/>
          <w:sz w:val="22"/>
          <w:szCs w:val="22"/>
        </w:rPr>
        <w:t>Build</w:t>
      </w:r>
      <w:r>
        <w:rPr>
          <w:rFonts w:ascii="Arial" w:hAnsi="Arial" w:cs="Arial"/>
          <w:sz w:val="22"/>
          <w:szCs w:val="22"/>
        </w:rPr>
        <w:t>s</w:t>
      </w:r>
      <w:r w:rsidRPr="00DE23B3">
        <w:rPr>
          <w:rFonts w:ascii="Arial" w:hAnsi="Arial" w:cs="Arial"/>
          <w:sz w:val="22"/>
          <w:szCs w:val="22"/>
        </w:rPr>
        <w:t xml:space="preserve"> a simulated NSC environment in our current data center to provide a physical assessment environment and platform for all our pre-migration systems configuration, integration</w:t>
      </w:r>
      <w:r>
        <w:rPr>
          <w:rFonts w:ascii="Arial" w:hAnsi="Arial" w:cs="Arial"/>
          <w:sz w:val="22"/>
          <w:szCs w:val="22"/>
        </w:rPr>
        <w:t>,</w:t>
      </w:r>
      <w:r w:rsidRPr="00DE23B3">
        <w:rPr>
          <w:rFonts w:ascii="Arial" w:hAnsi="Arial" w:cs="Arial"/>
          <w:sz w:val="22"/>
          <w:szCs w:val="22"/>
        </w:rPr>
        <w:t xml:space="preserve"> and performance testing.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Enterprise Configuration Management System (eCMS) - </w:t>
      </w:r>
      <w:r w:rsidRPr="00DE23B3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s</w:t>
      </w:r>
      <w:r w:rsidRPr="00DE23B3">
        <w:rPr>
          <w:rFonts w:ascii="Arial" w:hAnsi="Arial" w:cs="Arial"/>
          <w:sz w:val="22"/>
          <w:szCs w:val="22"/>
        </w:rPr>
        <w:t xml:space="preserve"> a knowledge base that details the I</w:t>
      </w:r>
      <w:r w:rsidR="002700A7">
        <w:rPr>
          <w:rFonts w:ascii="Arial" w:hAnsi="Arial" w:cs="Arial"/>
          <w:sz w:val="22"/>
          <w:szCs w:val="22"/>
        </w:rPr>
        <w:t xml:space="preserve">nformation </w:t>
      </w:r>
      <w:r w:rsidRPr="00DE23B3">
        <w:rPr>
          <w:rFonts w:ascii="Arial" w:hAnsi="Arial" w:cs="Arial"/>
          <w:sz w:val="22"/>
          <w:szCs w:val="22"/>
        </w:rPr>
        <w:t>T</w:t>
      </w:r>
      <w:r w:rsidR="002700A7">
        <w:rPr>
          <w:rFonts w:ascii="Arial" w:hAnsi="Arial" w:cs="Arial"/>
          <w:sz w:val="22"/>
          <w:szCs w:val="22"/>
        </w:rPr>
        <w:t>echnology (IT)</w:t>
      </w:r>
      <w:r w:rsidRPr="00DE23B3">
        <w:rPr>
          <w:rFonts w:ascii="Arial" w:hAnsi="Arial" w:cs="Arial"/>
          <w:sz w:val="22"/>
          <w:szCs w:val="22"/>
        </w:rPr>
        <w:t xml:space="preserve"> architecture (e.g.</w:t>
      </w:r>
      <w:r w:rsidR="002700A7">
        <w:rPr>
          <w:rFonts w:ascii="Arial" w:hAnsi="Arial" w:cs="Arial"/>
          <w:sz w:val="22"/>
          <w:szCs w:val="22"/>
        </w:rPr>
        <w:t>,</w:t>
      </w:r>
      <w:r w:rsidRPr="00DE23B3">
        <w:rPr>
          <w:rFonts w:ascii="Arial" w:hAnsi="Arial" w:cs="Arial"/>
          <w:sz w:val="22"/>
          <w:szCs w:val="22"/>
        </w:rPr>
        <w:t xml:space="preserve"> hardware</w:t>
      </w:r>
      <w:r w:rsidR="00792E55">
        <w:rPr>
          <w:rFonts w:ascii="Arial" w:hAnsi="Arial" w:cs="Arial"/>
          <w:sz w:val="22"/>
          <w:szCs w:val="22"/>
        </w:rPr>
        <w:t xml:space="preserve"> and</w:t>
      </w:r>
      <w:r w:rsidRPr="00DE23B3">
        <w:rPr>
          <w:rFonts w:ascii="Arial" w:hAnsi="Arial" w:cs="Arial"/>
          <w:sz w:val="22"/>
          <w:szCs w:val="22"/>
        </w:rPr>
        <w:t xml:space="preserve"> software connectivity) of the NCC and S</w:t>
      </w:r>
      <w:r w:rsidR="00792E55">
        <w:rPr>
          <w:rFonts w:ascii="Arial" w:hAnsi="Arial" w:cs="Arial"/>
          <w:sz w:val="22"/>
          <w:szCs w:val="22"/>
        </w:rPr>
        <w:t xml:space="preserve">econdary </w:t>
      </w:r>
      <w:r w:rsidRPr="00DE23B3">
        <w:rPr>
          <w:rFonts w:ascii="Arial" w:hAnsi="Arial" w:cs="Arial"/>
          <w:sz w:val="22"/>
          <w:szCs w:val="22"/>
        </w:rPr>
        <w:t>S</w:t>
      </w:r>
      <w:r w:rsidR="00792E55">
        <w:rPr>
          <w:rFonts w:ascii="Arial" w:hAnsi="Arial" w:cs="Arial"/>
          <w:sz w:val="22"/>
          <w:szCs w:val="22"/>
        </w:rPr>
        <w:t xml:space="preserve">upport </w:t>
      </w:r>
      <w:r w:rsidRPr="00DE23B3">
        <w:rPr>
          <w:rFonts w:ascii="Arial" w:hAnsi="Arial" w:cs="Arial"/>
          <w:sz w:val="22"/>
          <w:szCs w:val="22"/>
        </w:rPr>
        <w:t>C</w:t>
      </w:r>
      <w:r w:rsidR="00792E55">
        <w:rPr>
          <w:rFonts w:ascii="Arial" w:hAnsi="Arial" w:cs="Arial"/>
          <w:sz w:val="22"/>
          <w:szCs w:val="22"/>
        </w:rPr>
        <w:t>enter</w:t>
      </w:r>
      <w:r w:rsidRPr="00DE23B3">
        <w:rPr>
          <w:rFonts w:ascii="Arial" w:hAnsi="Arial" w:cs="Arial"/>
          <w:sz w:val="22"/>
          <w:szCs w:val="22"/>
        </w:rPr>
        <w:t xml:space="preserve"> inner-core distributed systems and mainframe </w:t>
      </w:r>
      <w:r w:rsidR="00792E55">
        <w:rPr>
          <w:rFonts w:ascii="Arial" w:hAnsi="Arial" w:cs="Arial"/>
          <w:sz w:val="22"/>
          <w:szCs w:val="22"/>
        </w:rPr>
        <w:t>commercial off</w:t>
      </w:r>
      <w:r w:rsidR="002700A7">
        <w:rPr>
          <w:rFonts w:ascii="Arial" w:hAnsi="Arial" w:cs="Arial"/>
          <w:sz w:val="22"/>
          <w:szCs w:val="22"/>
        </w:rPr>
        <w:t>-</w:t>
      </w:r>
      <w:r w:rsidR="00792E55">
        <w:rPr>
          <w:rFonts w:ascii="Arial" w:hAnsi="Arial" w:cs="Arial"/>
          <w:sz w:val="22"/>
          <w:szCs w:val="22"/>
        </w:rPr>
        <w:t>the</w:t>
      </w:r>
      <w:r w:rsidR="002700A7">
        <w:rPr>
          <w:rFonts w:ascii="Arial" w:hAnsi="Arial" w:cs="Arial"/>
          <w:sz w:val="22"/>
          <w:szCs w:val="22"/>
        </w:rPr>
        <w:t>-</w:t>
      </w:r>
      <w:r w:rsidR="00792E55">
        <w:rPr>
          <w:rFonts w:ascii="Arial" w:hAnsi="Arial" w:cs="Arial"/>
          <w:sz w:val="22"/>
          <w:szCs w:val="22"/>
        </w:rPr>
        <w:t>shelf</w:t>
      </w:r>
      <w:r w:rsidRPr="00DE23B3">
        <w:rPr>
          <w:rFonts w:ascii="Arial" w:hAnsi="Arial" w:cs="Arial"/>
          <w:sz w:val="22"/>
          <w:szCs w:val="22"/>
        </w:rPr>
        <w:t xml:space="preserve"> software in planning and executing the NSC transition.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Facilities </w:t>
      </w:r>
      <w:r w:rsidR="002700A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Engineer</w:t>
      </w:r>
      <w:r w:rsidR="00792E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manage</w:t>
      </w:r>
      <w:r w:rsidR="00792E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data center raised floor environment in support of operational requirements.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Pr="000B19C1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Systems Virtualization &amp; Consolidation - </w:t>
      </w:r>
      <w:r w:rsidRPr="004B0FDC">
        <w:rPr>
          <w:rFonts w:ascii="Arial" w:hAnsi="Arial" w:cs="Arial"/>
          <w:sz w:val="22"/>
          <w:szCs w:val="22"/>
        </w:rPr>
        <w:t>Consolidate</w:t>
      </w:r>
      <w:r w:rsidR="00792E55">
        <w:rPr>
          <w:rFonts w:ascii="Arial" w:hAnsi="Arial" w:cs="Arial"/>
          <w:sz w:val="22"/>
          <w:szCs w:val="22"/>
        </w:rPr>
        <w:t>s</w:t>
      </w:r>
      <w:r w:rsidRPr="004B0FDC">
        <w:rPr>
          <w:rFonts w:ascii="Arial" w:hAnsi="Arial" w:cs="Arial"/>
          <w:sz w:val="22"/>
          <w:szCs w:val="22"/>
        </w:rPr>
        <w:t xml:space="preserve"> and virtualize</w:t>
      </w:r>
      <w:r w:rsidR="00792E55">
        <w:rPr>
          <w:rFonts w:ascii="Arial" w:hAnsi="Arial" w:cs="Arial"/>
          <w:sz w:val="22"/>
          <w:szCs w:val="22"/>
        </w:rPr>
        <w:t>s</w:t>
      </w:r>
      <w:r w:rsidRPr="004B0FDC">
        <w:rPr>
          <w:rFonts w:ascii="Arial" w:hAnsi="Arial" w:cs="Arial"/>
          <w:sz w:val="22"/>
          <w:szCs w:val="22"/>
        </w:rPr>
        <w:t xml:space="preserve"> our distributed compute environment in order to decrease the amount of computer hardware need</w:t>
      </w:r>
      <w:r w:rsidR="002700A7">
        <w:rPr>
          <w:rFonts w:ascii="Arial" w:hAnsi="Arial" w:cs="Arial"/>
          <w:sz w:val="22"/>
          <w:szCs w:val="22"/>
        </w:rPr>
        <w:t>ed</w:t>
      </w:r>
      <w:r w:rsidRPr="004B0FDC">
        <w:rPr>
          <w:rFonts w:ascii="Arial" w:hAnsi="Arial" w:cs="Arial"/>
          <w:sz w:val="22"/>
          <w:szCs w:val="22"/>
        </w:rPr>
        <w:t xml:space="preserve"> to maintain and move the Open Systems environment to the NSC.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Storage - </w:t>
      </w:r>
      <w:r w:rsidRPr="004B0FDC">
        <w:rPr>
          <w:rFonts w:ascii="Arial" w:hAnsi="Arial" w:cs="Arial"/>
          <w:sz w:val="22"/>
          <w:szCs w:val="22"/>
        </w:rPr>
        <w:t>Deploy</w:t>
      </w:r>
      <w:r w:rsidR="00792E55">
        <w:rPr>
          <w:rFonts w:ascii="Arial" w:hAnsi="Arial" w:cs="Arial"/>
          <w:sz w:val="22"/>
          <w:szCs w:val="22"/>
        </w:rPr>
        <w:t>s</w:t>
      </w:r>
      <w:r w:rsidRPr="004B0FDC">
        <w:rPr>
          <w:rFonts w:ascii="Arial" w:hAnsi="Arial" w:cs="Arial"/>
          <w:sz w:val="22"/>
          <w:szCs w:val="22"/>
        </w:rPr>
        <w:t xml:space="preserve"> storage systems/hardware and migrate</w:t>
      </w:r>
      <w:r w:rsidR="00792E55">
        <w:rPr>
          <w:rFonts w:ascii="Arial" w:hAnsi="Arial" w:cs="Arial"/>
          <w:sz w:val="22"/>
          <w:szCs w:val="22"/>
        </w:rPr>
        <w:t>s</w:t>
      </w:r>
      <w:r w:rsidRPr="004B0FDC">
        <w:rPr>
          <w:rFonts w:ascii="Arial" w:hAnsi="Arial" w:cs="Arial"/>
          <w:sz w:val="22"/>
          <w:szCs w:val="22"/>
        </w:rPr>
        <w:t xml:space="preserve"> all mainframe and open systems storage to the NSC without loss or corruption of critical agency data.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Default="004C330A" w:rsidP="00D518B2">
      <w:pPr>
        <w:rPr>
          <w:rFonts w:ascii="Arial" w:hAnsi="Arial" w:cs="Arial"/>
          <w:sz w:val="22"/>
          <w:szCs w:val="22"/>
        </w:rPr>
      </w:pPr>
      <w:r w:rsidRPr="008E3AC7">
        <w:rPr>
          <w:rFonts w:ascii="Arial" w:hAnsi="Arial" w:cs="Arial"/>
          <w:sz w:val="22"/>
          <w:szCs w:val="22"/>
        </w:rPr>
        <w:lastRenderedPageBreak/>
        <w:t>IT Physical Construction</w:t>
      </w:r>
      <w:r w:rsidR="00391AC7" w:rsidRPr="008E3AC7">
        <w:rPr>
          <w:rFonts w:ascii="Arial" w:hAnsi="Arial" w:cs="Arial"/>
          <w:sz w:val="22"/>
          <w:szCs w:val="22"/>
        </w:rPr>
        <w:t xml:space="preserve"> </w:t>
      </w:r>
      <w:r w:rsidR="008E3AC7" w:rsidRPr="008E3AC7">
        <w:rPr>
          <w:rFonts w:ascii="Arial" w:hAnsi="Arial" w:cs="Arial"/>
          <w:sz w:val="22"/>
          <w:szCs w:val="22"/>
        </w:rPr>
        <w:t xml:space="preserve">Support </w:t>
      </w:r>
      <w:r w:rsidR="00D518B2" w:rsidRPr="008E3AC7">
        <w:rPr>
          <w:rFonts w:ascii="Arial" w:hAnsi="Arial" w:cs="Arial"/>
          <w:sz w:val="22"/>
          <w:szCs w:val="22"/>
        </w:rPr>
        <w:t xml:space="preserve">- </w:t>
      </w:r>
      <w:r w:rsidR="00792E55" w:rsidRPr="008E3AC7">
        <w:rPr>
          <w:rFonts w:ascii="Arial" w:hAnsi="Arial" w:cs="Arial"/>
          <w:sz w:val="22"/>
          <w:szCs w:val="22"/>
        </w:rPr>
        <w:t>D</w:t>
      </w:r>
      <w:r w:rsidR="00D518B2" w:rsidRPr="008E3AC7">
        <w:rPr>
          <w:rFonts w:ascii="Arial" w:hAnsi="Arial" w:cs="Arial"/>
          <w:sz w:val="22"/>
          <w:szCs w:val="22"/>
        </w:rPr>
        <w:t>e</w:t>
      </w:r>
      <w:r w:rsidR="00E55678" w:rsidRPr="008E3AC7">
        <w:rPr>
          <w:rFonts w:ascii="Arial" w:hAnsi="Arial" w:cs="Arial"/>
          <w:sz w:val="22"/>
          <w:szCs w:val="22"/>
        </w:rPr>
        <w:t>velops</w:t>
      </w:r>
      <w:r w:rsidR="00D518B2" w:rsidRPr="008E3AC7">
        <w:rPr>
          <w:rFonts w:ascii="Arial" w:hAnsi="Arial" w:cs="Arial"/>
          <w:sz w:val="22"/>
          <w:szCs w:val="22"/>
        </w:rPr>
        <w:t xml:space="preserve"> the requirements and ensure</w:t>
      </w:r>
      <w:r w:rsidR="00792E55" w:rsidRPr="008E3AC7">
        <w:rPr>
          <w:rFonts w:ascii="Arial" w:hAnsi="Arial" w:cs="Arial"/>
          <w:sz w:val="22"/>
          <w:szCs w:val="22"/>
        </w:rPr>
        <w:t>s</w:t>
      </w:r>
      <w:r w:rsidR="00D518B2" w:rsidRPr="008E3AC7">
        <w:rPr>
          <w:rFonts w:ascii="Arial" w:hAnsi="Arial" w:cs="Arial"/>
          <w:sz w:val="22"/>
          <w:szCs w:val="22"/>
        </w:rPr>
        <w:t xml:space="preserve"> that the </w:t>
      </w:r>
      <w:r w:rsidR="00337EC4" w:rsidRPr="008E3AC7">
        <w:rPr>
          <w:rFonts w:ascii="Arial" w:hAnsi="Arial" w:cs="Arial"/>
          <w:sz w:val="22"/>
          <w:szCs w:val="22"/>
        </w:rPr>
        <w:t>N</w:t>
      </w:r>
      <w:r w:rsidR="008E3AC7" w:rsidRPr="008E3AC7">
        <w:rPr>
          <w:rFonts w:ascii="Arial" w:hAnsi="Arial" w:cs="Arial"/>
          <w:sz w:val="22"/>
          <w:szCs w:val="22"/>
        </w:rPr>
        <w:t>S</w:t>
      </w:r>
      <w:r w:rsidR="00337EC4" w:rsidRPr="008E3AC7">
        <w:rPr>
          <w:rFonts w:ascii="Arial" w:hAnsi="Arial" w:cs="Arial"/>
          <w:sz w:val="22"/>
          <w:szCs w:val="22"/>
        </w:rPr>
        <w:t xml:space="preserve">C infrastructure will meet </w:t>
      </w:r>
      <w:r w:rsidR="00AC75E4" w:rsidRPr="008E3AC7">
        <w:rPr>
          <w:rFonts w:ascii="Arial" w:hAnsi="Arial" w:cs="Arial"/>
          <w:sz w:val="22"/>
          <w:szCs w:val="22"/>
        </w:rPr>
        <w:t>agency</w:t>
      </w:r>
      <w:r w:rsidR="00337EC4" w:rsidRPr="008E3AC7">
        <w:rPr>
          <w:rFonts w:ascii="Arial" w:hAnsi="Arial" w:cs="Arial"/>
          <w:sz w:val="22"/>
          <w:szCs w:val="22"/>
        </w:rPr>
        <w:t xml:space="preserve"> IT </w:t>
      </w:r>
      <w:r w:rsidR="00D518B2" w:rsidRPr="008E3AC7">
        <w:rPr>
          <w:rFonts w:ascii="Arial" w:hAnsi="Arial" w:cs="Arial"/>
          <w:sz w:val="22"/>
          <w:szCs w:val="22"/>
        </w:rPr>
        <w:t>needs for decades to come.</w:t>
      </w:r>
      <w:r w:rsidR="00232396">
        <w:rPr>
          <w:rFonts w:ascii="Arial" w:hAnsi="Arial" w:cs="Arial"/>
          <w:sz w:val="22"/>
          <w:szCs w:val="22"/>
        </w:rPr>
        <w:t xml:space="preserve">  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&amp; Telecom - P</w:t>
      </w:r>
      <w:r w:rsidRPr="004B0FDC">
        <w:rPr>
          <w:rFonts w:ascii="Arial" w:hAnsi="Arial" w:cs="Arial"/>
          <w:sz w:val="22"/>
          <w:szCs w:val="22"/>
        </w:rPr>
        <w:t>rovide</w:t>
      </w:r>
      <w:r w:rsidR="00792E55">
        <w:rPr>
          <w:rFonts w:ascii="Arial" w:hAnsi="Arial" w:cs="Arial"/>
          <w:sz w:val="22"/>
          <w:szCs w:val="22"/>
        </w:rPr>
        <w:t>s</w:t>
      </w:r>
      <w:r w:rsidRPr="004B0FDC">
        <w:rPr>
          <w:rFonts w:ascii="Arial" w:hAnsi="Arial" w:cs="Arial"/>
          <w:sz w:val="22"/>
          <w:szCs w:val="22"/>
        </w:rPr>
        <w:t xml:space="preserve"> support for </w:t>
      </w:r>
      <w:r w:rsidR="00792E55">
        <w:rPr>
          <w:rFonts w:ascii="Arial" w:hAnsi="Arial" w:cs="Arial"/>
          <w:sz w:val="22"/>
          <w:szCs w:val="22"/>
        </w:rPr>
        <w:t>wide area</w:t>
      </w:r>
      <w:r w:rsidR="00A633A7">
        <w:rPr>
          <w:rFonts w:ascii="Arial" w:hAnsi="Arial" w:cs="Arial"/>
          <w:sz w:val="22"/>
          <w:szCs w:val="22"/>
        </w:rPr>
        <w:t xml:space="preserve"> network</w:t>
      </w:r>
      <w:r w:rsidRPr="004B0FDC">
        <w:rPr>
          <w:rFonts w:ascii="Arial" w:hAnsi="Arial" w:cs="Arial"/>
          <w:sz w:val="22"/>
          <w:szCs w:val="22"/>
        </w:rPr>
        <w:t xml:space="preserve"> telecommunications (with carriers) and data center network infrastructure design and build out.</w:t>
      </w: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Mainframe - </w:t>
      </w:r>
      <w:r w:rsidRPr="004B0FDC">
        <w:rPr>
          <w:rFonts w:ascii="Arial" w:hAnsi="Arial" w:cs="Arial"/>
          <w:sz w:val="22"/>
          <w:szCs w:val="22"/>
        </w:rPr>
        <w:t>Re-architect</w:t>
      </w:r>
      <w:r w:rsidR="00792E55">
        <w:rPr>
          <w:rFonts w:ascii="Arial" w:hAnsi="Arial" w:cs="Arial"/>
          <w:sz w:val="22"/>
          <w:szCs w:val="22"/>
        </w:rPr>
        <w:t>s</w:t>
      </w:r>
      <w:r w:rsidRPr="004B0FDC">
        <w:rPr>
          <w:rFonts w:ascii="Arial" w:hAnsi="Arial" w:cs="Arial"/>
          <w:sz w:val="22"/>
          <w:szCs w:val="22"/>
        </w:rPr>
        <w:t xml:space="preserve"> the mainframe environment and associated business processes.</w:t>
      </w:r>
    </w:p>
    <w:p w:rsidR="00E8398C" w:rsidRDefault="00E8398C" w:rsidP="00D518B2">
      <w:pPr>
        <w:rPr>
          <w:rFonts w:ascii="Arial" w:hAnsi="Arial" w:cs="Arial"/>
          <w:sz w:val="22"/>
          <w:szCs w:val="22"/>
        </w:rPr>
      </w:pPr>
    </w:p>
    <w:p w:rsidR="00D518B2" w:rsidRDefault="00D518B2" w:rsidP="00D518B2">
      <w:pPr>
        <w:rPr>
          <w:rFonts w:ascii="Arial" w:hAnsi="Arial" w:cs="Arial"/>
          <w:sz w:val="22"/>
          <w:szCs w:val="22"/>
        </w:rPr>
      </w:pPr>
    </w:p>
    <w:p w:rsidR="00485616" w:rsidRDefault="00830814" w:rsidP="00792E5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FY 20</w:t>
      </w:r>
      <w:r w:rsidR="006200FF">
        <w:rPr>
          <w:rFonts w:ascii="Arial" w:hAnsi="Arial" w:cs="Arial"/>
          <w:b/>
          <w:bCs/>
          <w:sz w:val="22"/>
          <w:szCs w:val="22"/>
        </w:rPr>
        <w:t>09</w:t>
      </w:r>
      <w:r w:rsidR="00E96A50">
        <w:rPr>
          <w:rFonts w:ascii="Arial" w:hAnsi="Arial" w:cs="Arial"/>
          <w:b/>
          <w:bCs/>
          <w:sz w:val="22"/>
          <w:szCs w:val="22"/>
        </w:rPr>
        <w:t xml:space="preserve"> - 2016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00FF">
        <w:rPr>
          <w:rFonts w:ascii="Arial" w:hAnsi="Arial" w:cs="Arial"/>
          <w:b/>
          <w:bCs/>
          <w:sz w:val="22"/>
          <w:szCs w:val="22"/>
        </w:rPr>
        <w:t>Actual/Planned</w:t>
      </w:r>
      <w:r>
        <w:rPr>
          <w:rFonts w:ascii="Arial" w:hAnsi="Arial" w:cs="Arial"/>
          <w:b/>
          <w:bCs/>
          <w:sz w:val="22"/>
          <w:szCs w:val="22"/>
        </w:rPr>
        <w:t xml:space="preserve"> Obligations</w:t>
      </w:r>
      <w:r w:rsidR="004B0FDC">
        <w:rPr>
          <w:rFonts w:ascii="Arial" w:hAnsi="Arial" w:cs="Arial"/>
          <w:b/>
          <w:bCs/>
          <w:sz w:val="22"/>
          <w:szCs w:val="22"/>
        </w:rPr>
        <w:t xml:space="preserve"> (in Millions)</w:t>
      </w:r>
    </w:p>
    <w:p w:rsidR="00E96A50" w:rsidRDefault="00E96A50" w:rsidP="00FF01B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900"/>
        <w:gridCol w:w="990"/>
        <w:gridCol w:w="990"/>
        <w:gridCol w:w="990"/>
        <w:gridCol w:w="990"/>
        <w:gridCol w:w="1260"/>
      </w:tblGrid>
      <w:tr w:rsidR="006200FF" w:rsidTr="00792E55">
        <w:trPr>
          <w:trHeight w:val="413"/>
          <w:jc w:val="center"/>
        </w:trPr>
        <w:tc>
          <w:tcPr>
            <w:tcW w:w="1530" w:type="dxa"/>
          </w:tcPr>
          <w:p w:rsidR="006200FF" w:rsidRDefault="006200FF" w:rsidP="00FF01B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200FF" w:rsidRDefault="00D518B2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FY2009 -</w:t>
            </w:r>
            <w:r w:rsidR="006200FF">
              <w:rPr>
                <w:rFonts w:ascii="Arial" w:hAnsi="Arial" w:cs="Arial"/>
                <w:b/>
                <w:bCs/>
                <w:sz w:val="22"/>
                <w:szCs w:val="22"/>
              </w:rPr>
              <w:t>FY2012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FY13 1</w:t>
            </w:r>
            <w:r w:rsidRPr="00E96A5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</w:t>
            </w:r>
            <w:r w:rsidR="00D518B2">
              <w:rPr>
                <w:rFonts w:ascii="Arial" w:hAnsi="Arial" w:cs="Arial"/>
                <w:b/>
                <w:bCs/>
                <w:sz w:val="22"/>
                <w:szCs w:val="22"/>
              </w:rPr>
              <w:t>tr</w:t>
            </w:r>
          </w:p>
        </w:tc>
        <w:tc>
          <w:tcPr>
            <w:tcW w:w="990" w:type="dxa"/>
            <w:vAlign w:val="center"/>
          </w:tcPr>
          <w:p w:rsidR="006200FF" w:rsidRDefault="006200FF" w:rsidP="00DB406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FY2013</w:t>
            </w:r>
          </w:p>
        </w:tc>
        <w:tc>
          <w:tcPr>
            <w:tcW w:w="990" w:type="dxa"/>
            <w:vAlign w:val="center"/>
          </w:tcPr>
          <w:p w:rsidR="006200FF" w:rsidRDefault="006200FF" w:rsidP="00DB406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FY2014</w:t>
            </w:r>
          </w:p>
        </w:tc>
        <w:tc>
          <w:tcPr>
            <w:tcW w:w="990" w:type="dxa"/>
            <w:vAlign w:val="center"/>
          </w:tcPr>
          <w:p w:rsidR="006200FF" w:rsidRDefault="006200FF" w:rsidP="00DB406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FY2015</w:t>
            </w:r>
          </w:p>
        </w:tc>
        <w:tc>
          <w:tcPr>
            <w:tcW w:w="990" w:type="dxa"/>
            <w:vAlign w:val="center"/>
          </w:tcPr>
          <w:p w:rsidR="006200FF" w:rsidRDefault="006200FF" w:rsidP="00DB406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FY2016</w:t>
            </w:r>
          </w:p>
        </w:tc>
        <w:tc>
          <w:tcPr>
            <w:tcW w:w="1260" w:type="dxa"/>
          </w:tcPr>
          <w:p w:rsidR="006200FF" w:rsidRDefault="006200FF" w:rsidP="00DB406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by Initiative</w:t>
            </w:r>
          </w:p>
        </w:tc>
      </w:tr>
      <w:tr w:rsidR="00391AC7" w:rsidTr="00792E55">
        <w:trPr>
          <w:trHeight w:val="368"/>
          <w:jc w:val="center"/>
        </w:trPr>
        <w:tc>
          <w:tcPr>
            <w:tcW w:w="1530" w:type="dxa"/>
            <w:vAlign w:val="center"/>
          </w:tcPr>
          <w:p w:rsidR="00391AC7" w:rsidRPr="004C330A" w:rsidRDefault="004C330A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30A">
              <w:rPr>
                <w:rFonts w:ascii="Arial" w:hAnsi="Arial" w:cs="Arial"/>
                <w:b/>
                <w:bCs/>
                <w:sz w:val="20"/>
                <w:szCs w:val="20"/>
              </w:rPr>
              <w:t>Building Construction</w:t>
            </w:r>
          </w:p>
        </w:tc>
        <w:tc>
          <w:tcPr>
            <w:tcW w:w="1260" w:type="dxa"/>
            <w:vAlign w:val="center"/>
          </w:tcPr>
          <w:p w:rsidR="00391AC7" w:rsidRPr="004C330A" w:rsidRDefault="00391AC7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30A">
              <w:rPr>
                <w:rFonts w:ascii="Arial" w:hAnsi="Arial" w:cs="Arial"/>
                <w:b/>
                <w:bCs/>
                <w:sz w:val="22"/>
                <w:szCs w:val="22"/>
              </w:rPr>
              <w:t>$326.0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391AC7" w:rsidRPr="004C330A" w:rsidRDefault="00391AC7" w:rsidP="0038225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1AC7" w:rsidRPr="004C330A" w:rsidRDefault="00391AC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1AC7" w:rsidRPr="004C330A" w:rsidRDefault="00391AC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1AC7" w:rsidRPr="004C330A" w:rsidRDefault="00391AC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1AC7" w:rsidRPr="004C330A" w:rsidRDefault="00391AC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1AC7" w:rsidRPr="004C330A" w:rsidRDefault="00391AC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30A">
              <w:rPr>
                <w:rFonts w:ascii="Arial" w:hAnsi="Arial" w:cs="Arial"/>
                <w:b/>
                <w:bCs/>
                <w:sz w:val="22"/>
                <w:szCs w:val="22"/>
              </w:rPr>
              <w:t>$326.0</w:t>
            </w:r>
          </w:p>
        </w:tc>
      </w:tr>
      <w:tr w:rsidR="000D2A37" w:rsidTr="00792E55">
        <w:trPr>
          <w:trHeight w:val="368"/>
          <w:jc w:val="center"/>
        </w:trPr>
        <w:tc>
          <w:tcPr>
            <w:tcW w:w="1530" w:type="dxa"/>
            <w:vAlign w:val="center"/>
          </w:tcPr>
          <w:p w:rsidR="000D2A37" w:rsidRPr="004C330A" w:rsidRDefault="00370D53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Growth Model Study</w:t>
            </w:r>
          </w:p>
        </w:tc>
        <w:tc>
          <w:tcPr>
            <w:tcW w:w="1260" w:type="dxa"/>
            <w:vAlign w:val="center"/>
          </w:tcPr>
          <w:p w:rsidR="000D2A37" w:rsidRPr="004C330A" w:rsidRDefault="000D2A37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30A">
              <w:rPr>
                <w:rFonts w:ascii="Arial" w:hAnsi="Arial" w:cs="Arial"/>
                <w:b/>
                <w:bCs/>
                <w:sz w:val="22"/>
                <w:szCs w:val="22"/>
              </w:rPr>
              <w:t>$1.5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0D2A37" w:rsidRPr="004C330A" w:rsidRDefault="000D2A37" w:rsidP="0038225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D2A37" w:rsidRPr="004C330A" w:rsidRDefault="000D2A3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D2A37" w:rsidRPr="004C330A" w:rsidRDefault="000D2A3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D2A37" w:rsidRPr="004C330A" w:rsidRDefault="000D2A3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D2A37" w:rsidRPr="004C330A" w:rsidRDefault="000D2A3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D2A37" w:rsidRPr="004C330A" w:rsidRDefault="000D2A37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30A">
              <w:rPr>
                <w:rFonts w:ascii="Arial" w:hAnsi="Arial" w:cs="Arial"/>
                <w:b/>
                <w:bCs/>
                <w:sz w:val="22"/>
                <w:szCs w:val="22"/>
              </w:rPr>
              <w:t>$1.5</w:t>
            </w:r>
          </w:p>
        </w:tc>
      </w:tr>
      <w:tr w:rsidR="006200FF" w:rsidTr="00792E55">
        <w:trPr>
          <w:trHeight w:val="368"/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  <w:r w:rsidR="00173755">
              <w:rPr>
                <w:rFonts w:ascii="Arial" w:hAnsi="Arial" w:cs="Arial"/>
                <w:b/>
                <w:bCs/>
                <w:sz w:val="20"/>
                <w:szCs w:val="20"/>
              </w:rPr>
              <w:t>ulated</w:t>
            </w: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NSC</w:t>
            </w:r>
          </w:p>
        </w:tc>
        <w:tc>
          <w:tcPr>
            <w:tcW w:w="1260" w:type="dxa"/>
            <w:vAlign w:val="center"/>
          </w:tcPr>
          <w:p w:rsidR="006200FF" w:rsidRDefault="00391AC7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6200FF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38225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$3.3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$4.5</w:t>
            </w:r>
          </w:p>
        </w:tc>
      </w:tr>
      <w:tr w:rsidR="006200FF" w:rsidTr="00173755">
        <w:trPr>
          <w:trHeight w:val="458"/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eCMS</w:t>
            </w:r>
          </w:p>
        </w:tc>
        <w:tc>
          <w:tcPr>
            <w:tcW w:w="1260" w:type="dxa"/>
            <w:vAlign w:val="center"/>
          </w:tcPr>
          <w:p w:rsidR="006200FF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$2.3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$2.2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$2.3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$6.8</w:t>
            </w:r>
          </w:p>
        </w:tc>
      </w:tr>
      <w:tr w:rsidR="006200FF" w:rsidTr="00173755">
        <w:trPr>
          <w:trHeight w:val="440"/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IT Facilities</w:t>
            </w:r>
          </w:p>
        </w:tc>
        <w:tc>
          <w:tcPr>
            <w:tcW w:w="1260" w:type="dxa"/>
            <w:vAlign w:val="center"/>
          </w:tcPr>
          <w:p w:rsidR="006200FF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59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$0.2</w:t>
            </w:r>
          </w:p>
        </w:tc>
        <w:tc>
          <w:tcPr>
            <w:tcW w:w="990" w:type="dxa"/>
            <w:vAlign w:val="center"/>
          </w:tcPr>
          <w:p w:rsidR="006200FF" w:rsidRDefault="006200FF" w:rsidP="0038225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$4.6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$8.6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$0.9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$0.9</w:t>
            </w:r>
          </w:p>
        </w:tc>
        <w:tc>
          <w:tcPr>
            <w:tcW w:w="126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$15.0</w:t>
            </w:r>
          </w:p>
        </w:tc>
      </w:tr>
      <w:tr w:rsidR="006200FF" w:rsidTr="00173755">
        <w:trPr>
          <w:trHeight w:val="440"/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Virtualization</w:t>
            </w:r>
          </w:p>
        </w:tc>
        <w:tc>
          <w:tcPr>
            <w:tcW w:w="1260" w:type="dxa"/>
            <w:vAlign w:val="center"/>
          </w:tcPr>
          <w:p w:rsidR="006200FF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$4.</w:t>
            </w:r>
            <w:r w:rsidR="00337EC4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7D3D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59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$11.8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$14.6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$5.8</w:t>
            </w:r>
          </w:p>
        </w:tc>
        <w:tc>
          <w:tcPr>
            <w:tcW w:w="990" w:type="dxa"/>
            <w:vAlign w:val="center"/>
          </w:tcPr>
          <w:p w:rsidR="006200FF" w:rsidRDefault="006200FF" w:rsidP="000F25F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$1.6</w:t>
            </w:r>
          </w:p>
        </w:tc>
        <w:tc>
          <w:tcPr>
            <w:tcW w:w="990" w:type="dxa"/>
            <w:vAlign w:val="center"/>
          </w:tcPr>
          <w:p w:rsidR="006200FF" w:rsidRDefault="006200FF" w:rsidP="008E3AC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$1.</w:t>
            </w:r>
            <w:r w:rsidR="008E3AC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$28.2</w:t>
            </w:r>
          </w:p>
        </w:tc>
      </w:tr>
      <w:tr w:rsidR="006200FF" w:rsidTr="00173755">
        <w:trPr>
          <w:trHeight w:val="440"/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Storage</w:t>
            </w:r>
          </w:p>
        </w:tc>
        <w:tc>
          <w:tcPr>
            <w:tcW w:w="1260" w:type="dxa"/>
            <w:vAlign w:val="center"/>
          </w:tcPr>
          <w:p w:rsidR="006200FF" w:rsidRDefault="006200FF" w:rsidP="006200F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$5.2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7D3D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59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$1.0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$12.0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$16.5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$10.0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$43.7</w:t>
            </w:r>
          </w:p>
        </w:tc>
      </w:tr>
      <w:tr w:rsidR="006200FF" w:rsidTr="00792E55">
        <w:trPr>
          <w:jc w:val="center"/>
        </w:trPr>
        <w:tc>
          <w:tcPr>
            <w:tcW w:w="1530" w:type="dxa"/>
            <w:vAlign w:val="center"/>
          </w:tcPr>
          <w:p w:rsidR="006200FF" w:rsidRPr="00827981" w:rsidRDefault="00391AC7" w:rsidP="004C330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 w:rsidR="004C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Physical Construction</w:t>
            </w:r>
          </w:p>
        </w:tc>
        <w:tc>
          <w:tcPr>
            <w:tcW w:w="1260" w:type="dxa"/>
            <w:vAlign w:val="center"/>
          </w:tcPr>
          <w:p w:rsidR="006200FF" w:rsidRDefault="00D518B2" w:rsidP="00AC75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391AC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C75E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A53D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AC75E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4C330A" w:rsidP="00AC75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AC75E4"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7.8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$6.9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$12.9</w:t>
            </w:r>
          </w:p>
        </w:tc>
        <w:tc>
          <w:tcPr>
            <w:tcW w:w="990" w:type="dxa"/>
            <w:vAlign w:val="center"/>
          </w:tcPr>
          <w:p w:rsidR="006200FF" w:rsidRDefault="006200FF" w:rsidP="008E3AC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$6.</w:t>
            </w:r>
            <w:r w:rsidR="008E3AC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6200FF" w:rsidRDefault="006200FF" w:rsidP="00C54DC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391AC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C75E4">
              <w:rPr>
                <w:rFonts w:ascii="Arial" w:hAnsi="Arial" w:cs="Arial"/>
                <w:b/>
                <w:bCs/>
                <w:sz w:val="22"/>
                <w:szCs w:val="22"/>
              </w:rPr>
              <w:t>6.0</w:t>
            </w:r>
          </w:p>
        </w:tc>
      </w:tr>
      <w:tr w:rsidR="006200FF" w:rsidTr="00792E55">
        <w:trPr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Network &amp; Telecom</w:t>
            </w:r>
          </w:p>
        </w:tc>
        <w:tc>
          <w:tcPr>
            <w:tcW w:w="1260" w:type="dxa"/>
            <w:vAlign w:val="center"/>
          </w:tcPr>
          <w:p w:rsidR="006200FF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$0.9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134A77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59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7A59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$10.8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$36.0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200FF" w:rsidRDefault="006200FF" w:rsidP="00EC195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$47.7</w:t>
            </w:r>
          </w:p>
        </w:tc>
      </w:tr>
      <w:tr w:rsidR="006200FF" w:rsidTr="00404C45">
        <w:trPr>
          <w:trHeight w:val="395"/>
          <w:jc w:val="center"/>
        </w:trPr>
        <w:tc>
          <w:tcPr>
            <w:tcW w:w="1530" w:type="dxa"/>
            <w:vAlign w:val="center"/>
          </w:tcPr>
          <w:p w:rsidR="006200FF" w:rsidRPr="00827981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981">
              <w:rPr>
                <w:rFonts w:ascii="Arial" w:hAnsi="Arial" w:cs="Arial"/>
                <w:b/>
                <w:bCs/>
                <w:sz w:val="20"/>
                <w:szCs w:val="20"/>
              </w:rPr>
              <w:t>Mainframe</w:t>
            </w:r>
          </w:p>
        </w:tc>
        <w:tc>
          <w:tcPr>
            <w:tcW w:w="1260" w:type="dxa"/>
            <w:vAlign w:val="center"/>
          </w:tcPr>
          <w:p w:rsidR="006200FF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$6.4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7A5958" w:rsidRDefault="006200FF" w:rsidP="0082798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59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$0.5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$2.7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$1.5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$61.2</w:t>
            </w:r>
          </w:p>
        </w:tc>
        <w:tc>
          <w:tcPr>
            <w:tcW w:w="99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$1.8</w:t>
            </w:r>
          </w:p>
        </w:tc>
        <w:tc>
          <w:tcPr>
            <w:tcW w:w="1260" w:type="dxa"/>
            <w:vAlign w:val="center"/>
          </w:tcPr>
          <w:p w:rsidR="006200FF" w:rsidRDefault="006200FF" w:rsidP="003E6A1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$73.6</w:t>
            </w:r>
          </w:p>
        </w:tc>
      </w:tr>
      <w:tr w:rsidR="006200FF" w:rsidTr="00792E55">
        <w:trPr>
          <w:trHeight w:val="440"/>
          <w:jc w:val="center"/>
        </w:trPr>
        <w:tc>
          <w:tcPr>
            <w:tcW w:w="1530" w:type="dxa"/>
            <w:vAlign w:val="center"/>
          </w:tcPr>
          <w:p w:rsidR="006200FF" w:rsidRPr="000D2A37" w:rsidRDefault="006200FF" w:rsidP="000B19C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60" w:type="dxa"/>
            <w:vAlign w:val="center"/>
          </w:tcPr>
          <w:p w:rsidR="006200FF" w:rsidRPr="000D2A37" w:rsidRDefault="006200FF" w:rsidP="008A53D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$3</w:t>
            </w:r>
            <w:r w:rsidR="000D2A37"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60.0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6200FF" w:rsidRPr="000D2A37" w:rsidRDefault="006200FF" w:rsidP="00134A77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$18.1</w:t>
            </w:r>
          </w:p>
        </w:tc>
        <w:tc>
          <w:tcPr>
            <w:tcW w:w="990" w:type="dxa"/>
            <w:vAlign w:val="center"/>
          </w:tcPr>
          <w:p w:rsidR="006200FF" w:rsidRPr="000D2A37" w:rsidRDefault="006200FF" w:rsidP="00AC75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$5</w:t>
            </w:r>
            <w:r w:rsidR="00AC75E4"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8.0</w:t>
            </w:r>
          </w:p>
        </w:tc>
        <w:tc>
          <w:tcPr>
            <w:tcW w:w="990" w:type="dxa"/>
            <w:vAlign w:val="center"/>
          </w:tcPr>
          <w:p w:rsidR="006200FF" w:rsidRPr="000D2A37" w:rsidRDefault="006200FF" w:rsidP="008677D5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$77.6</w:t>
            </w:r>
          </w:p>
        </w:tc>
        <w:tc>
          <w:tcPr>
            <w:tcW w:w="990" w:type="dxa"/>
            <w:vAlign w:val="center"/>
          </w:tcPr>
          <w:p w:rsidR="006200FF" w:rsidRPr="000D2A37" w:rsidRDefault="006200FF" w:rsidP="00CD56A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$86.6</w:t>
            </w:r>
          </w:p>
        </w:tc>
        <w:tc>
          <w:tcPr>
            <w:tcW w:w="990" w:type="dxa"/>
            <w:vAlign w:val="center"/>
          </w:tcPr>
          <w:p w:rsidR="006200FF" w:rsidRPr="000D2A37" w:rsidRDefault="006200FF" w:rsidP="008A53D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$1</w:t>
            </w:r>
            <w:r w:rsidR="008A53D6"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A53D6"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6200FF" w:rsidRPr="000D2A37" w:rsidRDefault="006200FF" w:rsidP="00AC75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AC75E4" w:rsidRPr="008E3AC7">
              <w:rPr>
                <w:rFonts w:ascii="Arial" w:hAnsi="Arial" w:cs="Arial"/>
                <w:b/>
                <w:bCs/>
                <w:sz w:val="22"/>
                <w:szCs w:val="22"/>
              </w:rPr>
              <w:t>593.0</w:t>
            </w:r>
          </w:p>
        </w:tc>
      </w:tr>
    </w:tbl>
    <w:p w:rsidR="00485616" w:rsidRDefault="00485616" w:rsidP="00FF01B2">
      <w:pPr>
        <w:rPr>
          <w:rFonts w:ascii="Arial" w:hAnsi="Arial" w:cs="Arial"/>
          <w:sz w:val="22"/>
          <w:szCs w:val="22"/>
        </w:rPr>
      </w:pPr>
    </w:p>
    <w:p w:rsidR="004105D3" w:rsidRPr="00C546B0" w:rsidRDefault="004105D3" w:rsidP="00FF0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Spending beyond the first quarter of FY 2013 is based on the approval of</w:t>
      </w:r>
      <w:r w:rsidR="00D26418">
        <w:rPr>
          <w:rFonts w:ascii="Arial" w:hAnsi="Arial" w:cs="Arial"/>
          <w:sz w:val="22"/>
          <w:szCs w:val="22"/>
        </w:rPr>
        <w:t xml:space="preserve"> a Presidential</w:t>
      </w:r>
      <w:r>
        <w:rPr>
          <w:rFonts w:ascii="Arial" w:hAnsi="Arial" w:cs="Arial"/>
          <w:sz w:val="22"/>
          <w:szCs w:val="22"/>
        </w:rPr>
        <w:t xml:space="preserve"> waiver.  </w:t>
      </w:r>
      <w:r w:rsidR="00C97099">
        <w:rPr>
          <w:rFonts w:ascii="Arial" w:hAnsi="Arial" w:cs="Arial"/>
          <w:sz w:val="22"/>
          <w:szCs w:val="22"/>
        </w:rPr>
        <w:t>If the waiver is approved, w</w:t>
      </w:r>
      <w:r>
        <w:rPr>
          <w:rFonts w:ascii="Arial" w:hAnsi="Arial" w:cs="Arial"/>
          <w:sz w:val="22"/>
          <w:szCs w:val="22"/>
        </w:rPr>
        <w:t xml:space="preserve">e will exhaust all of the $500M in Recovery Act funding </w:t>
      </w:r>
      <w:r w:rsidR="00D26418">
        <w:rPr>
          <w:rFonts w:ascii="Arial" w:hAnsi="Arial" w:cs="Arial"/>
          <w:sz w:val="22"/>
          <w:szCs w:val="22"/>
        </w:rPr>
        <w:t>during</w:t>
      </w:r>
      <w:r>
        <w:rPr>
          <w:rFonts w:ascii="Arial" w:hAnsi="Arial" w:cs="Arial"/>
          <w:sz w:val="22"/>
          <w:szCs w:val="22"/>
        </w:rPr>
        <w:t xml:space="preserve"> FY 2015.  </w:t>
      </w:r>
      <w:r w:rsidR="00D26418">
        <w:rPr>
          <w:rFonts w:ascii="Arial" w:hAnsi="Arial" w:cs="Arial"/>
          <w:sz w:val="22"/>
          <w:szCs w:val="22"/>
        </w:rPr>
        <w:t>We will need to request</w:t>
      </w:r>
      <w:r>
        <w:rPr>
          <w:rFonts w:ascii="Arial" w:hAnsi="Arial" w:cs="Arial"/>
          <w:sz w:val="22"/>
          <w:szCs w:val="22"/>
        </w:rPr>
        <w:t xml:space="preserve"> additional appropriat</w:t>
      </w:r>
      <w:r w:rsidR="00D26418">
        <w:rPr>
          <w:rFonts w:ascii="Arial" w:hAnsi="Arial" w:cs="Arial"/>
          <w:sz w:val="22"/>
          <w:szCs w:val="22"/>
        </w:rPr>
        <w:t>ed funds to cover</w:t>
      </w:r>
      <w:r>
        <w:rPr>
          <w:rFonts w:ascii="Arial" w:hAnsi="Arial" w:cs="Arial"/>
          <w:sz w:val="22"/>
          <w:szCs w:val="22"/>
        </w:rPr>
        <w:t xml:space="preserve"> the remaining</w:t>
      </w:r>
      <w:r w:rsidR="00D26418">
        <w:rPr>
          <w:rFonts w:ascii="Arial" w:hAnsi="Arial" w:cs="Arial"/>
          <w:sz w:val="22"/>
          <w:szCs w:val="22"/>
        </w:rPr>
        <w:t xml:space="preserve"> $93M in NSC Migration expenses</w:t>
      </w:r>
      <w:r w:rsidR="00C97099">
        <w:rPr>
          <w:rFonts w:ascii="Arial" w:hAnsi="Arial" w:cs="Arial"/>
          <w:sz w:val="22"/>
          <w:szCs w:val="22"/>
        </w:rPr>
        <w:t>.</w:t>
      </w:r>
    </w:p>
    <w:sectPr w:rsidR="004105D3" w:rsidRPr="00C546B0" w:rsidSect="00C5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B83"/>
    <w:multiLevelType w:val="hybridMultilevel"/>
    <w:tmpl w:val="6824CB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911C1"/>
    <w:multiLevelType w:val="hybridMultilevel"/>
    <w:tmpl w:val="486A8C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A52B6F"/>
    <w:multiLevelType w:val="hybridMultilevel"/>
    <w:tmpl w:val="FC2006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6D2F41"/>
    <w:multiLevelType w:val="hybridMultilevel"/>
    <w:tmpl w:val="3516F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6146D"/>
    <w:multiLevelType w:val="hybridMultilevel"/>
    <w:tmpl w:val="02389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64FD4"/>
    <w:multiLevelType w:val="multilevel"/>
    <w:tmpl w:val="78D4E99A"/>
    <w:lvl w:ilvl="0">
      <w:start w:val="1"/>
      <w:numFmt w:val="bullet"/>
      <w:lvlText w:val=""/>
      <w:lvlJc w:val="left"/>
      <w:pPr>
        <w:tabs>
          <w:tab w:val="num" w:pos="1143"/>
        </w:tabs>
        <w:ind w:left="114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6">
    <w:nsid w:val="34CF329C"/>
    <w:multiLevelType w:val="hybridMultilevel"/>
    <w:tmpl w:val="6CB618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716FC"/>
    <w:multiLevelType w:val="hybridMultilevel"/>
    <w:tmpl w:val="F6AE3CAA"/>
    <w:lvl w:ilvl="0" w:tplc="040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>
    <w:nsid w:val="4A001C82"/>
    <w:multiLevelType w:val="hybridMultilevel"/>
    <w:tmpl w:val="9AE4BD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90AAA"/>
    <w:multiLevelType w:val="hybridMultilevel"/>
    <w:tmpl w:val="76FE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36FAC"/>
    <w:multiLevelType w:val="hybridMultilevel"/>
    <w:tmpl w:val="F07A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C226C"/>
    <w:multiLevelType w:val="hybridMultilevel"/>
    <w:tmpl w:val="A498E7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22DAF"/>
    <w:multiLevelType w:val="hybridMultilevel"/>
    <w:tmpl w:val="78D4E99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D83FCE"/>
    <w:multiLevelType w:val="hybridMultilevel"/>
    <w:tmpl w:val="C5A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F5908"/>
    <w:multiLevelType w:val="hybridMultilevel"/>
    <w:tmpl w:val="83C8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223A2"/>
    <w:multiLevelType w:val="hybridMultilevel"/>
    <w:tmpl w:val="5282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E4"/>
    <w:rsid w:val="00015EF4"/>
    <w:rsid w:val="000236CA"/>
    <w:rsid w:val="00023D1F"/>
    <w:rsid w:val="00041D0A"/>
    <w:rsid w:val="00044379"/>
    <w:rsid w:val="00047D47"/>
    <w:rsid w:val="00047E99"/>
    <w:rsid w:val="00067C39"/>
    <w:rsid w:val="00075254"/>
    <w:rsid w:val="00075668"/>
    <w:rsid w:val="00086A3C"/>
    <w:rsid w:val="0008725D"/>
    <w:rsid w:val="000B19C1"/>
    <w:rsid w:val="000B584B"/>
    <w:rsid w:val="000B5A03"/>
    <w:rsid w:val="000C7F24"/>
    <w:rsid w:val="000D09BD"/>
    <w:rsid w:val="000D2A37"/>
    <w:rsid w:val="000D6DB8"/>
    <w:rsid w:val="000E29CB"/>
    <w:rsid w:val="000F25F1"/>
    <w:rsid w:val="00110965"/>
    <w:rsid w:val="0011643C"/>
    <w:rsid w:val="00117880"/>
    <w:rsid w:val="001258CF"/>
    <w:rsid w:val="00126663"/>
    <w:rsid w:val="00134A77"/>
    <w:rsid w:val="00135EA0"/>
    <w:rsid w:val="00154C15"/>
    <w:rsid w:val="001648C9"/>
    <w:rsid w:val="001657ED"/>
    <w:rsid w:val="00173755"/>
    <w:rsid w:val="00173A5B"/>
    <w:rsid w:val="00186E3F"/>
    <w:rsid w:val="00187256"/>
    <w:rsid w:val="00192062"/>
    <w:rsid w:val="001A2734"/>
    <w:rsid w:val="001B1198"/>
    <w:rsid w:val="001D0EFC"/>
    <w:rsid w:val="001D3A27"/>
    <w:rsid w:val="001E2F2C"/>
    <w:rsid w:val="001F185C"/>
    <w:rsid w:val="00204AC4"/>
    <w:rsid w:val="00214ED6"/>
    <w:rsid w:val="002276C6"/>
    <w:rsid w:val="00232396"/>
    <w:rsid w:val="00235431"/>
    <w:rsid w:val="002412BA"/>
    <w:rsid w:val="002700A7"/>
    <w:rsid w:val="00271C39"/>
    <w:rsid w:val="00274756"/>
    <w:rsid w:val="00283CF8"/>
    <w:rsid w:val="00292C0B"/>
    <w:rsid w:val="002A143D"/>
    <w:rsid w:val="002B54AF"/>
    <w:rsid w:val="002B556D"/>
    <w:rsid w:val="002C3324"/>
    <w:rsid w:val="002D0C89"/>
    <w:rsid w:val="002E27BA"/>
    <w:rsid w:val="002E354F"/>
    <w:rsid w:val="002E63AB"/>
    <w:rsid w:val="002F3038"/>
    <w:rsid w:val="0030236E"/>
    <w:rsid w:val="0031512B"/>
    <w:rsid w:val="003202BF"/>
    <w:rsid w:val="0032188E"/>
    <w:rsid w:val="00325C42"/>
    <w:rsid w:val="00337EC4"/>
    <w:rsid w:val="00361028"/>
    <w:rsid w:val="00370D53"/>
    <w:rsid w:val="00382250"/>
    <w:rsid w:val="00382327"/>
    <w:rsid w:val="003916F8"/>
    <w:rsid w:val="00391AC7"/>
    <w:rsid w:val="0039406C"/>
    <w:rsid w:val="00394601"/>
    <w:rsid w:val="003C21E4"/>
    <w:rsid w:val="003D3B83"/>
    <w:rsid w:val="003E135C"/>
    <w:rsid w:val="003E6A1C"/>
    <w:rsid w:val="003F68A5"/>
    <w:rsid w:val="00404C45"/>
    <w:rsid w:val="00407B8D"/>
    <w:rsid w:val="004105D3"/>
    <w:rsid w:val="00414BD8"/>
    <w:rsid w:val="00421BDB"/>
    <w:rsid w:val="00425F1B"/>
    <w:rsid w:val="004264E4"/>
    <w:rsid w:val="00444380"/>
    <w:rsid w:val="00452397"/>
    <w:rsid w:val="00454292"/>
    <w:rsid w:val="00480F36"/>
    <w:rsid w:val="00482FEF"/>
    <w:rsid w:val="00483BD1"/>
    <w:rsid w:val="00485616"/>
    <w:rsid w:val="00485D72"/>
    <w:rsid w:val="004860C5"/>
    <w:rsid w:val="004A2502"/>
    <w:rsid w:val="004B0FDC"/>
    <w:rsid w:val="004B4D72"/>
    <w:rsid w:val="004B7EEA"/>
    <w:rsid w:val="004C330A"/>
    <w:rsid w:val="004E29F1"/>
    <w:rsid w:val="004F2F59"/>
    <w:rsid w:val="004F4E26"/>
    <w:rsid w:val="004F73BE"/>
    <w:rsid w:val="00512DF9"/>
    <w:rsid w:val="00516EB7"/>
    <w:rsid w:val="00520B80"/>
    <w:rsid w:val="00525318"/>
    <w:rsid w:val="00563923"/>
    <w:rsid w:val="00564459"/>
    <w:rsid w:val="0058133E"/>
    <w:rsid w:val="00595359"/>
    <w:rsid w:val="005A10BE"/>
    <w:rsid w:val="005C20E1"/>
    <w:rsid w:val="005E2A0D"/>
    <w:rsid w:val="005E2A9D"/>
    <w:rsid w:val="005E3F5D"/>
    <w:rsid w:val="005F7477"/>
    <w:rsid w:val="00602A8A"/>
    <w:rsid w:val="006200FF"/>
    <w:rsid w:val="00622FF8"/>
    <w:rsid w:val="0062494E"/>
    <w:rsid w:val="00636AC1"/>
    <w:rsid w:val="00641F68"/>
    <w:rsid w:val="00643831"/>
    <w:rsid w:val="00657559"/>
    <w:rsid w:val="006825D5"/>
    <w:rsid w:val="006A22B7"/>
    <w:rsid w:val="006A5DCB"/>
    <w:rsid w:val="006B691C"/>
    <w:rsid w:val="006B74A5"/>
    <w:rsid w:val="006C0145"/>
    <w:rsid w:val="006C529B"/>
    <w:rsid w:val="006D2BCB"/>
    <w:rsid w:val="006E548E"/>
    <w:rsid w:val="006F585F"/>
    <w:rsid w:val="006F68E0"/>
    <w:rsid w:val="00714CC5"/>
    <w:rsid w:val="00723B89"/>
    <w:rsid w:val="00734A66"/>
    <w:rsid w:val="007430DF"/>
    <w:rsid w:val="00755958"/>
    <w:rsid w:val="00755B7B"/>
    <w:rsid w:val="007636AA"/>
    <w:rsid w:val="00777993"/>
    <w:rsid w:val="00786B09"/>
    <w:rsid w:val="00792E55"/>
    <w:rsid w:val="007A3A0D"/>
    <w:rsid w:val="007A5958"/>
    <w:rsid w:val="007B0BE7"/>
    <w:rsid w:val="007B5068"/>
    <w:rsid w:val="007D3D61"/>
    <w:rsid w:val="007D3D84"/>
    <w:rsid w:val="007D6E3A"/>
    <w:rsid w:val="007D6E90"/>
    <w:rsid w:val="007F0E29"/>
    <w:rsid w:val="007F35EB"/>
    <w:rsid w:val="00802FE5"/>
    <w:rsid w:val="0082269D"/>
    <w:rsid w:val="00827981"/>
    <w:rsid w:val="00830814"/>
    <w:rsid w:val="008408CC"/>
    <w:rsid w:val="008434D9"/>
    <w:rsid w:val="00857734"/>
    <w:rsid w:val="00857D64"/>
    <w:rsid w:val="00860F16"/>
    <w:rsid w:val="008677D5"/>
    <w:rsid w:val="00874CDD"/>
    <w:rsid w:val="00877052"/>
    <w:rsid w:val="00886CD6"/>
    <w:rsid w:val="00886F66"/>
    <w:rsid w:val="008972E1"/>
    <w:rsid w:val="008A396B"/>
    <w:rsid w:val="008A53D6"/>
    <w:rsid w:val="008B6953"/>
    <w:rsid w:val="008D2CE9"/>
    <w:rsid w:val="008E3AC7"/>
    <w:rsid w:val="008E7F79"/>
    <w:rsid w:val="008F4B95"/>
    <w:rsid w:val="008F6E6D"/>
    <w:rsid w:val="008F76B2"/>
    <w:rsid w:val="00913B0E"/>
    <w:rsid w:val="009208E2"/>
    <w:rsid w:val="00921166"/>
    <w:rsid w:val="00921F74"/>
    <w:rsid w:val="009221D4"/>
    <w:rsid w:val="009247C5"/>
    <w:rsid w:val="009414F7"/>
    <w:rsid w:val="00947D94"/>
    <w:rsid w:val="009524BA"/>
    <w:rsid w:val="009550F7"/>
    <w:rsid w:val="00957C9A"/>
    <w:rsid w:val="00960502"/>
    <w:rsid w:val="00974197"/>
    <w:rsid w:val="00975840"/>
    <w:rsid w:val="00981CBA"/>
    <w:rsid w:val="009931F0"/>
    <w:rsid w:val="00993E68"/>
    <w:rsid w:val="009B0819"/>
    <w:rsid w:val="009F7FF3"/>
    <w:rsid w:val="00A1052E"/>
    <w:rsid w:val="00A13743"/>
    <w:rsid w:val="00A13C99"/>
    <w:rsid w:val="00A22A61"/>
    <w:rsid w:val="00A30434"/>
    <w:rsid w:val="00A31627"/>
    <w:rsid w:val="00A32133"/>
    <w:rsid w:val="00A4323A"/>
    <w:rsid w:val="00A47533"/>
    <w:rsid w:val="00A633A7"/>
    <w:rsid w:val="00A7141F"/>
    <w:rsid w:val="00A82156"/>
    <w:rsid w:val="00A90596"/>
    <w:rsid w:val="00AA728F"/>
    <w:rsid w:val="00AC0686"/>
    <w:rsid w:val="00AC48BE"/>
    <w:rsid w:val="00AC75E4"/>
    <w:rsid w:val="00AC7D89"/>
    <w:rsid w:val="00AD091E"/>
    <w:rsid w:val="00AD5FBD"/>
    <w:rsid w:val="00AD60A6"/>
    <w:rsid w:val="00AE29AB"/>
    <w:rsid w:val="00AE5395"/>
    <w:rsid w:val="00B05385"/>
    <w:rsid w:val="00B06551"/>
    <w:rsid w:val="00B25650"/>
    <w:rsid w:val="00B30640"/>
    <w:rsid w:val="00B54007"/>
    <w:rsid w:val="00B6194D"/>
    <w:rsid w:val="00B7156C"/>
    <w:rsid w:val="00B716AA"/>
    <w:rsid w:val="00B71D00"/>
    <w:rsid w:val="00B84AE3"/>
    <w:rsid w:val="00B8549F"/>
    <w:rsid w:val="00B91F5C"/>
    <w:rsid w:val="00BA53C1"/>
    <w:rsid w:val="00BB71A7"/>
    <w:rsid w:val="00BC3742"/>
    <w:rsid w:val="00BD0164"/>
    <w:rsid w:val="00BD43BD"/>
    <w:rsid w:val="00BE2982"/>
    <w:rsid w:val="00BE2C79"/>
    <w:rsid w:val="00BF3DEC"/>
    <w:rsid w:val="00BF4377"/>
    <w:rsid w:val="00C02756"/>
    <w:rsid w:val="00C0418C"/>
    <w:rsid w:val="00C27FA6"/>
    <w:rsid w:val="00C36730"/>
    <w:rsid w:val="00C37589"/>
    <w:rsid w:val="00C45289"/>
    <w:rsid w:val="00C546B0"/>
    <w:rsid w:val="00C54DCD"/>
    <w:rsid w:val="00C7287D"/>
    <w:rsid w:val="00C73133"/>
    <w:rsid w:val="00C74F70"/>
    <w:rsid w:val="00C97099"/>
    <w:rsid w:val="00CC04EC"/>
    <w:rsid w:val="00CC1B62"/>
    <w:rsid w:val="00CD2D1B"/>
    <w:rsid w:val="00CD56AF"/>
    <w:rsid w:val="00CD5E7B"/>
    <w:rsid w:val="00CD7721"/>
    <w:rsid w:val="00CE50C1"/>
    <w:rsid w:val="00CE732E"/>
    <w:rsid w:val="00CE78E3"/>
    <w:rsid w:val="00CF7504"/>
    <w:rsid w:val="00D00379"/>
    <w:rsid w:val="00D03B0A"/>
    <w:rsid w:val="00D04841"/>
    <w:rsid w:val="00D0675C"/>
    <w:rsid w:val="00D14DB2"/>
    <w:rsid w:val="00D2018E"/>
    <w:rsid w:val="00D207DB"/>
    <w:rsid w:val="00D26418"/>
    <w:rsid w:val="00D43062"/>
    <w:rsid w:val="00D446A2"/>
    <w:rsid w:val="00D518B2"/>
    <w:rsid w:val="00D529AD"/>
    <w:rsid w:val="00D808AE"/>
    <w:rsid w:val="00D90FE6"/>
    <w:rsid w:val="00DB0746"/>
    <w:rsid w:val="00DB4061"/>
    <w:rsid w:val="00DC7B77"/>
    <w:rsid w:val="00DE23B3"/>
    <w:rsid w:val="00DE51FC"/>
    <w:rsid w:val="00DE5EE9"/>
    <w:rsid w:val="00DF17C1"/>
    <w:rsid w:val="00E03E37"/>
    <w:rsid w:val="00E056F9"/>
    <w:rsid w:val="00E06B58"/>
    <w:rsid w:val="00E11089"/>
    <w:rsid w:val="00E13BF7"/>
    <w:rsid w:val="00E148E8"/>
    <w:rsid w:val="00E23F87"/>
    <w:rsid w:val="00E26C31"/>
    <w:rsid w:val="00E47B57"/>
    <w:rsid w:val="00E55678"/>
    <w:rsid w:val="00E71A25"/>
    <w:rsid w:val="00E739C9"/>
    <w:rsid w:val="00E73D5B"/>
    <w:rsid w:val="00E8398C"/>
    <w:rsid w:val="00E8586D"/>
    <w:rsid w:val="00E90F3E"/>
    <w:rsid w:val="00E96A50"/>
    <w:rsid w:val="00EA1DBD"/>
    <w:rsid w:val="00EC1951"/>
    <w:rsid w:val="00EC2393"/>
    <w:rsid w:val="00EC7AE7"/>
    <w:rsid w:val="00ED5C0C"/>
    <w:rsid w:val="00EE782F"/>
    <w:rsid w:val="00EF30E1"/>
    <w:rsid w:val="00F20991"/>
    <w:rsid w:val="00F27D9D"/>
    <w:rsid w:val="00F50EAC"/>
    <w:rsid w:val="00F50F82"/>
    <w:rsid w:val="00F54C93"/>
    <w:rsid w:val="00F66D79"/>
    <w:rsid w:val="00F72FB9"/>
    <w:rsid w:val="00F8237A"/>
    <w:rsid w:val="00F85990"/>
    <w:rsid w:val="00F9084B"/>
    <w:rsid w:val="00FA0E36"/>
    <w:rsid w:val="00FB0F36"/>
    <w:rsid w:val="00FF01B2"/>
    <w:rsid w:val="00FF1765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C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F16"/>
    <w:rPr>
      <w:color w:val="0000FF"/>
      <w:u w:val="single"/>
    </w:rPr>
  </w:style>
  <w:style w:type="paragraph" w:styleId="BalloonText">
    <w:name w:val="Balloon Text"/>
    <w:basedOn w:val="Normal"/>
    <w:semiHidden/>
    <w:rsid w:val="00D529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0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86F6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6F66"/>
    <w:rPr>
      <w:rFonts w:ascii="Consolas" w:hAnsi="Consolas"/>
      <w:sz w:val="21"/>
      <w:szCs w:val="21"/>
    </w:rPr>
  </w:style>
  <w:style w:type="paragraph" w:customStyle="1" w:styleId="Default">
    <w:name w:val="Default"/>
    <w:rsid w:val="00FF01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C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F16"/>
    <w:rPr>
      <w:color w:val="0000FF"/>
      <w:u w:val="single"/>
    </w:rPr>
  </w:style>
  <w:style w:type="paragraph" w:styleId="BalloonText">
    <w:name w:val="Balloon Text"/>
    <w:basedOn w:val="Normal"/>
    <w:semiHidden/>
    <w:rsid w:val="00D529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0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86F6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6F66"/>
    <w:rPr>
      <w:rFonts w:ascii="Consolas" w:hAnsi="Consolas"/>
      <w:sz w:val="21"/>
      <w:szCs w:val="21"/>
    </w:rPr>
  </w:style>
  <w:style w:type="paragraph" w:customStyle="1" w:styleId="Default">
    <w:name w:val="Default"/>
    <w:rsid w:val="00FF01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09B4-37BE-4627-B3C3-06FA8442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ADMINISTRATION</vt:lpstr>
    </vt:vector>
  </TitlesOfParts>
  <Company>Social Security Administration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ADMINISTRATION</dc:title>
  <dc:creator>Sekeyi</dc:creator>
  <cp:lastModifiedBy>Hepner, Helen</cp:lastModifiedBy>
  <cp:revision>2</cp:revision>
  <cp:lastPrinted>2012-10-19T20:08:00Z</cp:lastPrinted>
  <dcterms:created xsi:type="dcterms:W3CDTF">2013-04-16T18:06:00Z</dcterms:created>
  <dcterms:modified xsi:type="dcterms:W3CDTF">2013-04-16T18:06:00Z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1401896200</vt:i4>
  </property>
</Properties>
</file>